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85" w:rsidRPr="00A82A85" w:rsidRDefault="00A82A85" w:rsidP="00FA4E14">
      <w:pPr>
        <w:shd w:val="clear" w:color="auto" w:fill="FEFEFE"/>
        <w:spacing w:after="120" w:line="240" w:lineRule="auto"/>
        <w:jc w:val="both"/>
        <w:outlineLvl w:val="3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A82A85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1. Общие положения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ООО "Киндер Моден"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</w:t>
      </w:r>
      <w:bookmarkStart w:id="0" w:name="_GoBack"/>
      <w:bookmarkEnd w:id="0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оторую Оператор может получить о посетителях веб-сайта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https://www.jackykids.ru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https://www.jackykids.ru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https://www.jackykids.ru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Пользователь – любой посетитель веб-сайта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https://www.jackykids.ru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Оператор имеет право: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 Оператор обязан: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 Фамилия, имя, отчество.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 Электронный адрес.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5.3. Номера телефонов.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5.4. Год, месяц, дата и место рождения.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5.5. Также на сайте происходит сбор и обработка обезличенных данных о посетителях (в </w:t>
      </w:r>
      <w:proofErr w:type="spell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5.6. Вышеперечисленные данные далее по тексту Политики объединены общим понятием Персональные данные.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5.7.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6.4. Обработке подлежат только персональные данные, которые отвечают целям их обработки.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неполных</w:t>
      </w:r>
      <w:proofErr w:type="gram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или неточных данных.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7. Цели обработки персональных данных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 https://www.jackykids.ru.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уставные (учредительные) документы Оператора;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https://www.jackykids.ru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lastRenderedPageBreak/>
        <w:t>12. Трансграничная передача персональных данных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82A85" w:rsidRPr="00A82A85" w:rsidRDefault="00A82A85" w:rsidP="00FA4E14">
      <w:pPr>
        <w:shd w:val="clear" w:color="auto" w:fill="FEFEFE"/>
        <w:spacing w:after="360" w:line="240" w:lineRule="auto"/>
        <w:jc w:val="both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14. Заключительные положения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info@jackykids.ru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82A85" w:rsidRPr="00A82A85" w:rsidRDefault="00A82A85" w:rsidP="00FA4E14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A82A85" w:rsidRPr="00A82A85" w:rsidRDefault="00A82A85" w:rsidP="00FA4E14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https://jackykids.ru/payment/</w:t>
      </w:r>
      <w:r w:rsidRPr="00A82A8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BC50E0" w:rsidRDefault="00BC50E0"/>
    <w:sectPr w:rsidR="00BC50E0" w:rsidSect="00FA4E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85"/>
    <w:rsid w:val="00A82A85"/>
    <w:rsid w:val="00BC50E0"/>
    <w:rsid w:val="00FA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B3B2-4AFB-403F-8E7F-3EBB901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2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2A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2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2A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82A85"/>
    <w:rPr>
      <w:b/>
      <w:bCs/>
    </w:rPr>
  </w:style>
  <w:style w:type="character" w:customStyle="1" w:styleId="link">
    <w:name w:val="link"/>
    <w:basedOn w:val="a0"/>
    <w:rsid w:val="00A8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7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159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4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9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137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04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673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7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971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0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3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2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26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1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3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62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1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4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1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2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51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4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3216</Words>
  <Characters>18335</Characters>
  <Application>Microsoft Office Word</Application>
  <DocSecurity>0</DocSecurity>
  <Lines>152</Lines>
  <Paragraphs>43</Paragraphs>
  <ScaleCrop>false</ScaleCrop>
  <Company/>
  <LinksUpToDate>false</LinksUpToDate>
  <CharactersWithSpaces>21508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2021-06-21T08:42:00Z</dcterms:created>
  <dcterms:modified xsi:type="dcterms:W3CDTF">2021-06-21T10:47:00Z</dcterms:modified>
</cp:coreProperties>
</file>